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26A6" w14:textId="77777777" w:rsidR="00805296" w:rsidRDefault="00000000">
      <w:pPr>
        <w:spacing w:line="360" w:lineRule="auto"/>
        <w:jc w:val="center"/>
        <w:outlineLvl w:val="0"/>
        <w:rPr>
          <w:rFonts w:ascii="宋体" w:eastAsia="宋体" w:hAnsi="宋体" w:cs="宋体"/>
          <w:b/>
          <w:szCs w:val="21"/>
        </w:rPr>
      </w:pPr>
      <w:r>
        <w:rPr>
          <w:rFonts w:ascii="宋体" w:eastAsia="宋体" w:hAnsi="宋体" w:cs="宋体" w:hint="eastAsia"/>
          <w:b/>
          <w:sz w:val="28"/>
          <w:szCs w:val="28"/>
        </w:rPr>
        <w:t>服务要求</w:t>
      </w:r>
    </w:p>
    <w:p w14:paraId="7C8DA729" w14:textId="77777777" w:rsidR="00805296" w:rsidRDefault="00000000">
      <w:pPr>
        <w:widowControl/>
        <w:spacing w:line="360" w:lineRule="auto"/>
        <w:ind w:firstLineChars="200" w:firstLine="420"/>
        <w:rPr>
          <w:rFonts w:ascii="宋体" w:eastAsia="宋体" w:hAnsi="宋体" w:cs="宋体"/>
          <w:szCs w:val="21"/>
        </w:rPr>
      </w:pPr>
      <w:r>
        <w:rPr>
          <w:rStyle w:val="msoins0"/>
          <w:rFonts w:ascii="宋体" w:eastAsia="宋体" w:hAnsi="宋体" w:cs="宋体" w:hint="eastAsia"/>
          <w:lang w:bidi="ar"/>
        </w:rPr>
        <w:t>上</w:t>
      </w:r>
      <w:proofErr w:type="gramStart"/>
      <w:r>
        <w:rPr>
          <w:rStyle w:val="msoins0"/>
          <w:rFonts w:ascii="宋体" w:eastAsia="宋体" w:hAnsi="宋体" w:cs="宋体" w:hint="eastAsia"/>
          <w:lang w:bidi="ar"/>
        </w:rPr>
        <w:t>银基金</w:t>
      </w:r>
      <w:proofErr w:type="gramEnd"/>
      <w:r>
        <w:rPr>
          <w:rStyle w:val="msoins0"/>
          <w:rFonts w:ascii="宋体" w:eastAsia="宋体" w:hAnsi="宋体" w:cs="宋体" w:hint="eastAsia"/>
          <w:lang w:bidi="ar"/>
        </w:rPr>
        <w:t>旗下产品资本新</w:t>
      </w:r>
      <w:proofErr w:type="gramStart"/>
      <w:r>
        <w:rPr>
          <w:rStyle w:val="msoins0"/>
          <w:rFonts w:ascii="宋体" w:eastAsia="宋体" w:hAnsi="宋体" w:cs="宋体" w:hint="eastAsia"/>
          <w:lang w:bidi="ar"/>
        </w:rPr>
        <w:t>规</w:t>
      </w:r>
      <w:proofErr w:type="gramEnd"/>
      <w:r>
        <w:rPr>
          <w:rStyle w:val="msoins0"/>
          <w:rFonts w:ascii="宋体" w:eastAsia="宋体" w:hAnsi="宋体" w:cs="宋体" w:hint="eastAsia"/>
          <w:lang w:bidi="ar"/>
        </w:rPr>
        <w:t>要求下审计机构</w:t>
      </w:r>
      <w:proofErr w:type="gramStart"/>
      <w:r>
        <w:rPr>
          <w:rStyle w:val="msoins0"/>
          <w:rFonts w:ascii="宋体" w:eastAsia="宋体" w:hAnsi="宋体" w:cs="宋体" w:hint="eastAsia"/>
          <w:lang w:bidi="ar"/>
        </w:rPr>
        <w:t>鉴证</w:t>
      </w:r>
      <w:proofErr w:type="gramEnd"/>
      <w:r>
        <w:rPr>
          <w:rStyle w:val="msoins0"/>
          <w:rFonts w:ascii="宋体" w:eastAsia="宋体" w:hAnsi="宋体" w:cs="宋体" w:hint="eastAsia"/>
          <w:lang w:bidi="ar"/>
        </w:rPr>
        <w:t>服务项目</w:t>
      </w:r>
      <w:r>
        <w:rPr>
          <w:rFonts w:ascii="宋体" w:eastAsia="宋体" w:hAnsi="宋体" w:cs="宋体" w:hint="eastAsia"/>
          <w:szCs w:val="21"/>
          <w:lang w:bidi="ar"/>
        </w:rPr>
        <w:t>，需根据采购人要求，满足以下条件：</w:t>
      </w:r>
    </w:p>
    <w:p w14:paraId="6152CF92" w14:textId="77777777" w:rsidR="00805296" w:rsidRDefault="00000000">
      <w:pPr>
        <w:spacing w:line="360" w:lineRule="auto"/>
        <w:rPr>
          <w:rFonts w:ascii="宋体" w:eastAsia="宋体" w:hAnsi="宋体" w:cs="宋体"/>
          <w:b/>
          <w:color w:val="000000"/>
          <w:szCs w:val="21"/>
        </w:rPr>
      </w:pPr>
      <w:r>
        <w:rPr>
          <w:rFonts w:ascii="宋体" w:eastAsia="宋体" w:hAnsi="宋体" w:cs="宋体" w:hint="eastAsia"/>
          <w:b/>
          <w:kern w:val="0"/>
          <w:szCs w:val="21"/>
          <w:lang w:bidi="ar"/>
        </w:rPr>
        <w:t>一、项目概况：</w:t>
      </w:r>
    </w:p>
    <w:p w14:paraId="40F201A9" w14:textId="77777777" w:rsidR="00805296" w:rsidRDefault="00000000">
      <w:pPr>
        <w:pStyle w:val="21"/>
        <w:widowControl/>
        <w:spacing w:line="360" w:lineRule="auto"/>
        <w:rPr>
          <w:rFonts w:ascii="宋体" w:hAnsi="宋体" w:cs="宋体"/>
          <w:szCs w:val="21"/>
          <w:shd w:val="clear" w:color="auto" w:fill="FFFFFF"/>
        </w:rPr>
      </w:pPr>
      <w:r>
        <w:rPr>
          <w:rFonts w:ascii="宋体" w:hAnsi="宋体" w:cs="宋体" w:hint="eastAsia"/>
          <w:szCs w:val="21"/>
          <w:shd w:val="clear" w:color="auto" w:fill="FFFFFF"/>
        </w:rPr>
        <w:t>上</w:t>
      </w:r>
      <w:proofErr w:type="gramStart"/>
      <w:r>
        <w:rPr>
          <w:rFonts w:ascii="宋体" w:hAnsi="宋体" w:cs="宋体" w:hint="eastAsia"/>
          <w:szCs w:val="21"/>
          <w:shd w:val="clear" w:color="auto" w:fill="FFFFFF"/>
        </w:rPr>
        <w:t>银基金</w:t>
      </w:r>
      <w:proofErr w:type="gramEnd"/>
      <w:r>
        <w:rPr>
          <w:rFonts w:ascii="宋体" w:hAnsi="宋体" w:cs="宋体" w:hint="eastAsia"/>
          <w:szCs w:val="21"/>
          <w:shd w:val="clear" w:color="auto" w:fill="FFFFFF"/>
        </w:rPr>
        <w:t>旗下产品资本新</w:t>
      </w:r>
      <w:proofErr w:type="gramStart"/>
      <w:r>
        <w:rPr>
          <w:rFonts w:ascii="宋体" w:hAnsi="宋体" w:cs="宋体" w:hint="eastAsia"/>
          <w:szCs w:val="21"/>
          <w:shd w:val="clear" w:color="auto" w:fill="FFFFFF"/>
        </w:rPr>
        <w:t>规</w:t>
      </w:r>
      <w:proofErr w:type="gramEnd"/>
      <w:r>
        <w:rPr>
          <w:rFonts w:ascii="宋体" w:hAnsi="宋体" w:cs="宋体" w:hint="eastAsia"/>
          <w:szCs w:val="21"/>
          <w:shd w:val="clear" w:color="auto" w:fill="FFFFFF"/>
        </w:rPr>
        <w:t>要求下审计机构</w:t>
      </w:r>
      <w:proofErr w:type="gramStart"/>
      <w:r>
        <w:rPr>
          <w:rFonts w:ascii="宋体" w:hAnsi="宋体" w:cs="宋体" w:hint="eastAsia"/>
          <w:szCs w:val="21"/>
          <w:shd w:val="clear" w:color="auto" w:fill="FFFFFF"/>
        </w:rPr>
        <w:t>鉴证</w:t>
      </w:r>
      <w:proofErr w:type="gramEnd"/>
      <w:r>
        <w:rPr>
          <w:rFonts w:ascii="宋体" w:hAnsi="宋体" w:cs="宋体" w:hint="eastAsia"/>
          <w:szCs w:val="21"/>
          <w:shd w:val="clear" w:color="auto" w:fill="FFFFFF"/>
        </w:rPr>
        <w:t>服务项目</w:t>
      </w:r>
    </w:p>
    <w:p w14:paraId="1F368045" w14:textId="77777777" w:rsidR="00805296" w:rsidRDefault="00000000">
      <w:pPr>
        <w:pStyle w:val="21"/>
        <w:widowControl/>
        <w:spacing w:line="360" w:lineRule="auto"/>
        <w:rPr>
          <w:rFonts w:ascii="宋体" w:hAnsi="宋体" w:cs="宋体"/>
          <w:szCs w:val="21"/>
          <w:shd w:val="clear" w:color="auto" w:fill="FFFFFF"/>
        </w:rPr>
      </w:pPr>
      <w:r>
        <w:rPr>
          <w:rFonts w:ascii="宋体" w:hAnsi="宋体" w:cs="宋体" w:hint="eastAsia"/>
          <w:szCs w:val="21"/>
          <w:shd w:val="clear" w:color="auto" w:fill="FFFFFF"/>
        </w:rPr>
        <w:t>根据金融监管总局《商业银行资本管理办法》（以下简称“《资本新规》”）要求，持有上</w:t>
      </w:r>
      <w:proofErr w:type="gramStart"/>
      <w:r>
        <w:rPr>
          <w:rFonts w:ascii="宋体" w:hAnsi="宋体" w:cs="宋体" w:hint="eastAsia"/>
          <w:szCs w:val="21"/>
          <w:shd w:val="clear" w:color="auto" w:fill="FFFFFF"/>
        </w:rPr>
        <w:t>银基金</w:t>
      </w:r>
      <w:proofErr w:type="gramEnd"/>
      <w:r>
        <w:rPr>
          <w:rFonts w:ascii="宋体" w:hAnsi="宋体" w:cs="宋体" w:hint="eastAsia"/>
          <w:szCs w:val="21"/>
          <w:shd w:val="clear" w:color="auto" w:fill="FFFFFF"/>
        </w:rPr>
        <w:t>旗下产品的商业银行委托人，如采取穿透法下第三方计量的方式计算风险加权资产，则应满足如下条件：</w:t>
      </w:r>
    </w:p>
    <w:p w14:paraId="08E3A2AC" w14:textId="77777777" w:rsidR="00805296" w:rsidRDefault="00000000">
      <w:pPr>
        <w:pStyle w:val="21"/>
        <w:widowControl/>
        <w:spacing w:line="360" w:lineRule="auto"/>
        <w:rPr>
          <w:rFonts w:ascii="宋体" w:hAnsi="宋体" w:cs="宋体"/>
          <w:szCs w:val="21"/>
          <w:shd w:val="clear" w:color="auto" w:fill="FFFFFF"/>
        </w:rPr>
      </w:pPr>
      <w:r>
        <w:rPr>
          <w:rFonts w:ascii="宋体" w:hAnsi="宋体" w:cs="宋体"/>
          <w:szCs w:val="21"/>
          <w:shd w:val="clear" w:color="auto" w:fill="FFFFFF"/>
        </w:rPr>
        <w:t>a.商业银行能够从第三方获取其用于计算资产管理产品风险加权资产的充足信息。</w:t>
      </w:r>
    </w:p>
    <w:p w14:paraId="1FE45E87" w14:textId="77777777" w:rsidR="00805296" w:rsidRDefault="00000000">
      <w:pPr>
        <w:pStyle w:val="21"/>
        <w:widowControl/>
        <w:spacing w:line="360" w:lineRule="auto"/>
        <w:rPr>
          <w:rFonts w:ascii="宋体" w:hAnsi="宋体" w:cs="宋体"/>
          <w:szCs w:val="21"/>
          <w:shd w:val="clear" w:color="auto" w:fill="FFFFFF"/>
        </w:rPr>
      </w:pPr>
      <w:r>
        <w:rPr>
          <w:rFonts w:ascii="宋体" w:hAnsi="宋体" w:cs="宋体"/>
          <w:szCs w:val="21"/>
          <w:shd w:val="clear" w:color="auto" w:fill="FFFFFF"/>
        </w:rPr>
        <w:t>b.第三方的计量频率应至少与商业银行财务报告的频率相同。</w:t>
      </w:r>
    </w:p>
    <w:p w14:paraId="170B23CF" w14:textId="77777777" w:rsidR="00805296" w:rsidRDefault="00000000">
      <w:pPr>
        <w:pStyle w:val="21"/>
        <w:widowControl/>
        <w:spacing w:line="360" w:lineRule="auto"/>
        <w:rPr>
          <w:rFonts w:ascii="宋体" w:hAnsi="宋体" w:cs="宋体"/>
          <w:szCs w:val="21"/>
          <w:shd w:val="clear" w:color="auto" w:fill="FFFFFF"/>
        </w:rPr>
      </w:pPr>
      <w:r>
        <w:rPr>
          <w:rFonts w:ascii="宋体" w:hAnsi="宋体" w:cs="宋体"/>
          <w:szCs w:val="21"/>
          <w:shd w:val="clear" w:color="auto" w:fill="FFFFFF"/>
        </w:rPr>
        <w:t>c.第三方为托管人或资产管理产品管理人。</w:t>
      </w:r>
    </w:p>
    <w:p w14:paraId="2169699C" w14:textId="77777777" w:rsidR="00805296" w:rsidRDefault="00000000">
      <w:pPr>
        <w:pStyle w:val="21"/>
        <w:widowControl/>
        <w:spacing w:line="360" w:lineRule="auto"/>
        <w:rPr>
          <w:rFonts w:ascii="宋体" w:hAnsi="宋体" w:cs="宋体"/>
          <w:szCs w:val="21"/>
          <w:shd w:val="clear" w:color="auto" w:fill="FFFFFF"/>
        </w:rPr>
      </w:pPr>
      <w:r>
        <w:rPr>
          <w:rFonts w:ascii="宋体" w:hAnsi="宋体" w:cs="宋体"/>
          <w:szCs w:val="21"/>
          <w:shd w:val="clear" w:color="auto" w:fill="FFFFFF"/>
        </w:rPr>
        <w:t>d.第三方的计量结果应经外部审计，且审计结果合格。</w:t>
      </w:r>
    </w:p>
    <w:p w14:paraId="64053BFE" w14:textId="77777777" w:rsidR="00805296" w:rsidRDefault="00000000">
      <w:pPr>
        <w:spacing w:line="360" w:lineRule="auto"/>
        <w:ind w:firstLineChars="200" w:firstLine="420"/>
        <w:rPr>
          <w:rFonts w:ascii="宋体" w:eastAsia="宋体" w:hAnsi="宋体" w:cs="宋体"/>
          <w:b/>
          <w:color w:val="000000"/>
          <w:szCs w:val="21"/>
        </w:rPr>
      </w:pPr>
      <w:r>
        <w:rPr>
          <w:rFonts w:ascii="宋体" w:eastAsia="宋体" w:hAnsi="宋体" w:cs="宋体" w:hint="eastAsia"/>
          <w:szCs w:val="21"/>
          <w:shd w:val="clear" w:color="auto" w:fill="FFFFFF"/>
          <w:lang w:bidi="ar"/>
        </w:rPr>
        <w:t>商业银行委托人作为上</w:t>
      </w:r>
      <w:proofErr w:type="gramStart"/>
      <w:r>
        <w:rPr>
          <w:rFonts w:ascii="宋体" w:eastAsia="宋体" w:hAnsi="宋体" w:cs="宋体" w:hint="eastAsia"/>
          <w:szCs w:val="21"/>
          <w:shd w:val="clear" w:color="auto" w:fill="FFFFFF"/>
          <w:lang w:bidi="ar"/>
        </w:rPr>
        <w:t>银基金</w:t>
      </w:r>
      <w:proofErr w:type="gramEnd"/>
      <w:r>
        <w:rPr>
          <w:rFonts w:ascii="宋体" w:eastAsia="宋体" w:hAnsi="宋体" w:cs="宋体" w:hint="eastAsia"/>
          <w:szCs w:val="21"/>
          <w:shd w:val="clear" w:color="auto" w:fill="FFFFFF"/>
          <w:lang w:bidi="ar"/>
        </w:rPr>
        <w:t>旗下产品的重要委托人之一，为配合</w:t>
      </w:r>
      <w:r>
        <w:rPr>
          <w:rFonts w:ascii="宋体" w:hAnsi="宋体" w:cs="宋体" w:hint="eastAsia"/>
          <w:szCs w:val="21"/>
          <w:shd w:val="clear" w:color="auto" w:fill="FFFFFF"/>
        </w:rPr>
        <w:t>《资本新规》实施，满足商业银行委托人《资本新规》实施中</w:t>
      </w:r>
      <w:r>
        <w:rPr>
          <w:rFonts w:ascii="宋体" w:hAnsi="宋体" w:cs="宋体"/>
          <w:szCs w:val="21"/>
          <w:shd w:val="clear" w:color="auto" w:fill="FFFFFF"/>
        </w:rPr>
        <w:t>风险加权资产</w:t>
      </w:r>
      <w:r>
        <w:rPr>
          <w:rFonts w:ascii="宋体" w:hAnsi="宋体" w:cs="宋体" w:hint="eastAsia"/>
          <w:szCs w:val="21"/>
          <w:shd w:val="clear" w:color="auto" w:fill="FFFFFF"/>
        </w:rPr>
        <w:t>的计算，根据法规要求，在上</w:t>
      </w:r>
      <w:proofErr w:type="gramStart"/>
      <w:r>
        <w:rPr>
          <w:rFonts w:ascii="宋体" w:hAnsi="宋体" w:cs="宋体" w:hint="eastAsia"/>
          <w:szCs w:val="21"/>
          <w:shd w:val="clear" w:color="auto" w:fill="FFFFFF"/>
        </w:rPr>
        <w:t>银基金</w:t>
      </w:r>
      <w:proofErr w:type="gramEnd"/>
      <w:r>
        <w:rPr>
          <w:rFonts w:ascii="宋体" w:hAnsi="宋体" w:cs="宋体" w:hint="eastAsia"/>
          <w:szCs w:val="21"/>
          <w:shd w:val="clear" w:color="auto" w:fill="FFFFFF"/>
        </w:rPr>
        <w:t>或其他专业机构作为第三方计量机构，计量风险加权资产时，聘请外部审计机构对计量结果进行确认，并需要出具审计</w:t>
      </w:r>
      <w:proofErr w:type="gramStart"/>
      <w:r>
        <w:rPr>
          <w:rFonts w:ascii="宋体" w:hAnsi="宋体" w:cs="宋体" w:hint="eastAsia"/>
          <w:szCs w:val="21"/>
          <w:shd w:val="clear" w:color="auto" w:fill="FFFFFF"/>
        </w:rPr>
        <w:t>鉴证</w:t>
      </w:r>
      <w:proofErr w:type="gramEnd"/>
      <w:r>
        <w:rPr>
          <w:rFonts w:ascii="宋体" w:hAnsi="宋体" w:cs="宋体" w:hint="eastAsia"/>
          <w:szCs w:val="21"/>
          <w:shd w:val="clear" w:color="auto" w:fill="FFFFFF"/>
        </w:rPr>
        <w:t>服务报告。现对2024年至2026年上</w:t>
      </w:r>
      <w:proofErr w:type="gramStart"/>
      <w:r>
        <w:rPr>
          <w:rFonts w:ascii="宋体" w:hAnsi="宋体" w:cs="宋体" w:hint="eastAsia"/>
          <w:szCs w:val="21"/>
          <w:shd w:val="clear" w:color="auto" w:fill="FFFFFF"/>
        </w:rPr>
        <w:t>银基金</w:t>
      </w:r>
      <w:proofErr w:type="gramEnd"/>
      <w:r>
        <w:rPr>
          <w:rFonts w:ascii="宋体" w:hAnsi="宋体" w:cs="宋体" w:hint="eastAsia"/>
          <w:szCs w:val="21"/>
          <w:shd w:val="clear" w:color="auto" w:fill="FFFFFF"/>
        </w:rPr>
        <w:t>旗下</w:t>
      </w:r>
      <w:r>
        <w:rPr>
          <w:rStyle w:val="msoins0"/>
          <w:rFonts w:ascii="宋体" w:eastAsia="宋体" w:hAnsi="宋体" w:cs="宋体" w:hint="eastAsia"/>
          <w:lang w:bidi="ar"/>
        </w:rPr>
        <w:t>产品资本新</w:t>
      </w:r>
      <w:proofErr w:type="gramStart"/>
      <w:r>
        <w:rPr>
          <w:rStyle w:val="msoins0"/>
          <w:rFonts w:ascii="宋体" w:eastAsia="宋体" w:hAnsi="宋体" w:cs="宋体" w:hint="eastAsia"/>
          <w:lang w:bidi="ar"/>
        </w:rPr>
        <w:t>规</w:t>
      </w:r>
      <w:proofErr w:type="gramEnd"/>
      <w:r>
        <w:rPr>
          <w:rStyle w:val="msoins0"/>
          <w:rFonts w:ascii="宋体" w:eastAsia="宋体" w:hAnsi="宋体" w:cs="宋体" w:hint="eastAsia"/>
          <w:lang w:bidi="ar"/>
        </w:rPr>
        <w:t>要求下审计机构</w:t>
      </w:r>
      <w:proofErr w:type="gramStart"/>
      <w:r>
        <w:rPr>
          <w:rStyle w:val="msoins0"/>
          <w:rFonts w:ascii="宋体" w:eastAsia="宋体" w:hAnsi="宋体" w:cs="宋体" w:hint="eastAsia"/>
          <w:lang w:bidi="ar"/>
        </w:rPr>
        <w:t>鉴证</w:t>
      </w:r>
      <w:proofErr w:type="gramEnd"/>
      <w:r>
        <w:rPr>
          <w:rStyle w:val="msoins0"/>
          <w:rFonts w:ascii="宋体" w:eastAsia="宋体" w:hAnsi="宋体" w:cs="宋体" w:hint="eastAsia"/>
          <w:lang w:bidi="ar"/>
        </w:rPr>
        <w:t>服务项目进行采购。</w:t>
      </w:r>
    </w:p>
    <w:p w14:paraId="37DB7390" w14:textId="77777777" w:rsidR="00805296" w:rsidRDefault="00805296">
      <w:pPr>
        <w:pStyle w:val="2"/>
        <w:widowControl/>
        <w:numPr>
          <w:ilvl w:val="1"/>
          <w:numId w:val="0"/>
        </w:numPr>
        <w:tabs>
          <w:tab w:val="clear" w:pos="1560"/>
          <w:tab w:val="left" w:pos="4200"/>
        </w:tabs>
        <w:ind w:left="840"/>
      </w:pPr>
    </w:p>
    <w:p w14:paraId="78ED318D" w14:textId="77777777" w:rsidR="00805296" w:rsidRDefault="00000000">
      <w:pPr>
        <w:numPr>
          <w:ilvl w:val="0"/>
          <w:numId w:val="2"/>
        </w:numPr>
        <w:spacing w:line="360" w:lineRule="auto"/>
        <w:rPr>
          <w:rFonts w:ascii="宋体" w:eastAsia="宋体" w:hAnsi="宋体" w:cs="宋体"/>
          <w:b/>
          <w:bCs/>
          <w:szCs w:val="21"/>
          <w:shd w:val="clear" w:color="auto" w:fill="FFFFFF"/>
          <w:lang w:bidi="ar"/>
        </w:rPr>
      </w:pPr>
      <w:r>
        <w:rPr>
          <w:rFonts w:ascii="宋体" w:eastAsia="宋体" w:hAnsi="宋体" w:cs="宋体" w:hint="eastAsia"/>
          <w:b/>
          <w:bCs/>
          <w:szCs w:val="21"/>
          <w:shd w:val="clear" w:color="auto" w:fill="FFFFFF"/>
          <w:lang w:bidi="ar"/>
        </w:rPr>
        <w:t>项目要求</w:t>
      </w:r>
    </w:p>
    <w:p w14:paraId="3E92F10C" w14:textId="77777777" w:rsidR="00805296" w:rsidRDefault="00000000">
      <w:pPr>
        <w:pStyle w:val="a5"/>
        <w:widowControl/>
        <w:spacing w:line="360" w:lineRule="auto"/>
        <w:rPr>
          <w:rFonts w:ascii="宋体" w:hAnsi="宋体" w:cs="宋体"/>
          <w:shd w:val="clear" w:color="auto" w:fill="FFFFFF"/>
          <w:lang w:bidi="ar"/>
        </w:rPr>
      </w:pPr>
      <w:r>
        <w:rPr>
          <w:rFonts w:ascii="宋体" w:hAnsi="宋体" w:cs="宋体" w:hint="eastAsia"/>
          <w:shd w:val="clear" w:color="auto" w:fill="FFFFFF"/>
          <w:lang w:bidi="ar"/>
        </w:rPr>
        <w:t xml:space="preserve">    服务期限：自本项目入围通知书发布之日起至2026年12月31日。</w:t>
      </w:r>
    </w:p>
    <w:p w14:paraId="263638E5" w14:textId="77777777" w:rsidR="00805296" w:rsidRDefault="00000000">
      <w:pPr>
        <w:pStyle w:val="a5"/>
        <w:widowControl/>
        <w:spacing w:line="360" w:lineRule="auto"/>
        <w:ind w:firstLineChars="200" w:firstLine="420"/>
        <w:rPr>
          <w:rFonts w:ascii="宋体" w:hAnsi="宋体" w:cs="宋体"/>
          <w:shd w:val="clear" w:color="auto" w:fill="FFFFFF"/>
          <w:lang w:bidi="ar"/>
        </w:rPr>
      </w:pPr>
      <w:r>
        <w:rPr>
          <w:rFonts w:ascii="宋体" w:hAnsi="宋体" w:cs="宋体" w:hint="eastAsia"/>
          <w:shd w:val="clear" w:color="auto" w:fill="FFFFFF"/>
          <w:lang w:bidi="ar"/>
        </w:rPr>
        <w:t>本项目入围、价格有效期自本项目入围通知书发布之日起至2026年12月31日，或采购人另行组织采购，以先者为准。</w:t>
      </w:r>
    </w:p>
    <w:p w14:paraId="09317360" w14:textId="77777777" w:rsidR="00805296" w:rsidRDefault="00000000">
      <w:pPr>
        <w:spacing w:line="360" w:lineRule="auto"/>
        <w:rPr>
          <w:rFonts w:ascii="宋体" w:eastAsia="宋体" w:hAnsi="宋体" w:cs="宋体"/>
          <w:szCs w:val="21"/>
          <w:shd w:val="clear" w:color="auto" w:fill="FFFFFF"/>
          <w:lang w:bidi="ar"/>
        </w:rPr>
      </w:pPr>
      <w:r>
        <w:rPr>
          <w:rFonts w:ascii="宋体" w:eastAsia="宋体" w:hAnsi="宋体" w:cs="宋体" w:hint="eastAsia"/>
          <w:szCs w:val="21"/>
          <w:shd w:val="clear" w:color="auto" w:fill="FFFFFF"/>
          <w:lang w:bidi="ar"/>
        </w:rPr>
        <w:t xml:space="preserve">    本项目入围1家供应商。</w:t>
      </w:r>
    </w:p>
    <w:p w14:paraId="4923D69B" w14:textId="77777777" w:rsidR="00805296" w:rsidRDefault="00000000">
      <w:pPr>
        <w:spacing w:line="360" w:lineRule="auto"/>
        <w:ind w:firstLineChars="200" w:firstLine="420"/>
        <w:rPr>
          <w:rFonts w:ascii="宋体" w:eastAsia="宋体" w:hAnsi="宋体" w:cs="宋体"/>
          <w:szCs w:val="21"/>
          <w:shd w:val="clear" w:color="auto" w:fill="FFFFFF"/>
          <w:lang w:bidi="ar"/>
        </w:rPr>
      </w:pPr>
      <w:r>
        <w:rPr>
          <w:rFonts w:ascii="宋体" w:eastAsia="宋体" w:hAnsi="宋体" w:cs="宋体" w:hint="eastAsia"/>
          <w:szCs w:val="21"/>
          <w:shd w:val="clear" w:color="auto" w:fill="FFFFFF"/>
          <w:lang w:bidi="ar"/>
        </w:rPr>
        <w:t>负责本项目的外部审计机构，应根据《资本新规》相关要求，对于上</w:t>
      </w:r>
      <w:proofErr w:type="gramStart"/>
      <w:r>
        <w:rPr>
          <w:rFonts w:ascii="宋体" w:eastAsia="宋体" w:hAnsi="宋体" w:cs="宋体" w:hint="eastAsia"/>
          <w:szCs w:val="21"/>
          <w:shd w:val="clear" w:color="auto" w:fill="FFFFFF"/>
          <w:lang w:bidi="ar"/>
        </w:rPr>
        <w:t>银基金</w:t>
      </w:r>
      <w:proofErr w:type="gramEnd"/>
      <w:r>
        <w:rPr>
          <w:rFonts w:ascii="宋体" w:eastAsia="宋体" w:hAnsi="宋体" w:cs="宋体" w:hint="eastAsia"/>
          <w:szCs w:val="21"/>
          <w:shd w:val="clear" w:color="auto" w:fill="FFFFFF"/>
          <w:lang w:bidi="ar"/>
        </w:rPr>
        <w:t>或其他专业机构担任第三方计量机构情况下，为商业银行委托人计算的持有基金管理公司资产管理产品计量的风险加权资产或根据《资本新规》要求的其他计量结果，提供审计</w:t>
      </w:r>
      <w:proofErr w:type="gramStart"/>
      <w:r>
        <w:rPr>
          <w:rFonts w:ascii="宋体" w:eastAsia="宋体" w:hAnsi="宋体" w:cs="宋体" w:hint="eastAsia"/>
          <w:szCs w:val="21"/>
          <w:shd w:val="clear" w:color="auto" w:fill="FFFFFF"/>
          <w:lang w:bidi="ar"/>
        </w:rPr>
        <w:t>鉴证</w:t>
      </w:r>
      <w:proofErr w:type="gramEnd"/>
      <w:r>
        <w:rPr>
          <w:rFonts w:ascii="宋体" w:eastAsia="宋体" w:hAnsi="宋体" w:cs="宋体" w:hint="eastAsia"/>
          <w:szCs w:val="21"/>
          <w:shd w:val="clear" w:color="auto" w:fill="FFFFFF"/>
          <w:lang w:bidi="ar"/>
        </w:rPr>
        <w:t>服务，并按照要求时间出具</w:t>
      </w:r>
      <w:proofErr w:type="gramStart"/>
      <w:r>
        <w:rPr>
          <w:rFonts w:ascii="宋体" w:eastAsia="宋体" w:hAnsi="宋体" w:cs="宋体" w:hint="eastAsia"/>
          <w:szCs w:val="21"/>
          <w:shd w:val="clear" w:color="auto" w:fill="FFFFFF"/>
          <w:lang w:bidi="ar"/>
        </w:rPr>
        <w:t>鉴证</w:t>
      </w:r>
      <w:proofErr w:type="gramEnd"/>
      <w:r>
        <w:rPr>
          <w:rFonts w:ascii="宋体" w:eastAsia="宋体" w:hAnsi="宋体" w:cs="宋体" w:hint="eastAsia"/>
          <w:szCs w:val="21"/>
          <w:shd w:val="clear" w:color="auto" w:fill="FFFFFF"/>
          <w:lang w:bidi="ar"/>
        </w:rPr>
        <w:t>报告。</w:t>
      </w:r>
    </w:p>
    <w:p w14:paraId="7EECE301" w14:textId="77777777" w:rsidR="00805296" w:rsidRDefault="00000000">
      <w:pPr>
        <w:snapToGrid w:val="0"/>
        <w:spacing w:line="360" w:lineRule="auto"/>
        <w:ind w:firstLineChars="200" w:firstLine="420"/>
        <w:rPr>
          <w:rFonts w:ascii="宋体" w:eastAsia="宋体" w:hAnsi="宋体" w:cs="宋体"/>
          <w:szCs w:val="21"/>
          <w:shd w:val="clear" w:color="auto" w:fill="FFFFFF"/>
          <w:lang w:bidi="ar"/>
        </w:rPr>
      </w:pPr>
      <w:r>
        <w:rPr>
          <w:rFonts w:ascii="宋体" w:eastAsia="宋体" w:hAnsi="宋体" w:cs="宋体" w:hint="eastAsia"/>
          <w:szCs w:val="21"/>
          <w:shd w:val="clear" w:color="auto" w:fill="FFFFFF"/>
          <w:lang w:bidi="ar"/>
        </w:rPr>
        <w:t>负责上</w:t>
      </w:r>
      <w:proofErr w:type="gramStart"/>
      <w:r>
        <w:rPr>
          <w:rFonts w:ascii="宋体" w:eastAsia="宋体" w:hAnsi="宋体" w:cs="宋体" w:hint="eastAsia"/>
          <w:szCs w:val="21"/>
          <w:shd w:val="clear" w:color="auto" w:fill="FFFFFF"/>
          <w:lang w:bidi="ar"/>
        </w:rPr>
        <w:t>银基金</w:t>
      </w:r>
      <w:proofErr w:type="gramEnd"/>
      <w:r>
        <w:rPr>
          <w:rFonts w:ascii="宋体" w:eastAsia="宋体" w:hAnsi="宋体" w:cs="宋体" w:hint="eastAsia"/>
          <w:szCs w:val="21"/>
          <w:shd w:val="clear" w:color="auto" w:fill="FFFFFF"/>
          <w:lang w:bidi="ar"/>
        </w:rPr>
        <w:t>旗下产品资本新</w:t>
      </w:r>
      <w:proofErr w:type="gramStart"/>
      <w:r>
        <w:rPr>
          <w:rFonts w:ascii="宋体" w:eastAsia="宋体" w:hAnsi="宋体" w:cs="宋体" w:hint="eastAsia"/>
          <w:szCs w:val="21"/>
          <w:shd w:val="clear" w:color="auto" w:fill="FFFFFF"/>
          <w:lang w:bidi="ar"/>
        </w:rPr>
        <w:t>规</w:t>
      </w:r>
      <w:proofErr w:type="gramEnd"/>
      <w:r>
        <w:rPr>
          <w:rFonts w:ascii="宋体" w:eastAsia="宋体" w:hAnsi="宋体" w:cs="宋体" w:hint="eastAsia"/>
          <w:szCs w:val="21"/>
          <w:shd w:val="clear" w:color="auto" w:fill="FFFFFF"/>
          <w:lang w:bidi="ar"/>
        </w:rPr>
        <w:t>要求下第三方计量的风险加权资产审计</w:t>
      </w:r>
      <w:proofErr w:type="gramStart"/>
      <w:r>
        <w:rPr>
          <w:rFonts w:ascii="宋体" w:eastAsia="宋体" w:hAnsi="宋体" w:cs="宋体" w:hint="eastAsia"/>
          <w:szCs w:val="21"/>
          <w:shd w:val="clear" w:color="auto" w:fill="FFFFFF"/>
          <w:lang w:bidi="ar"/>
        </w:rPr>
        <w:t>鉴证</w:t>
      </w:r>
      <w:proofErr w:type="gramEnd"/>
      <w:r>
        <w:rPr>
          <w:rFonts w:ascii="宋体" w:eastAsia="宋体" w:hAnsi="宋体" w:cs="宋体" w:hint="eastAsia"/>
          <w:szCs w:val="21"/>
          <w:shd w:val="clear" w:color="auto" w:fill="FFFFFF"/>
          <w:lang w:bidi="ar"/>
        </w:rPr>
        <w:t>服务的外部审</w:t>
      </w:r>
      <w:r>
        <w:rPr>
          <w:rFonts w:ascii="宋体" w:eastAsia="宋体" w:hAnsi="宋体" w:cs="宋体" w:hint="eastAsia"/>
          <w:szCs w:val="21"/>
          <w:shd w:val="clear" w:color="auto" w:fill="FFFFFF"/>
          <w:lang w:bidi="ar"/>
        </w:rPr>
        <w:lastRenderedPageBreak/>
        <w:t>计，其</w:t>
      </w:r>
      <w:proofErr w:type="gramStart"/>
      <w:r>
        <w:rPr>
          <w:rFonts w:ascii="宋体" w:eastAsia="宋体" w:hAnsi="宋体" w:cs="宋体" w:hint="eastAsia"/>
          <w:szCs w:val="21"/>
          <w:shd w:val="clear" w:color="auto" w:fill="FFFFFF"/>
          <w:lang w:bidi="ar"/>
        </w:rPr>
        <w:t>鉴证</w:t>
      </w:r>
      <w:proofErr w:type="gramEnd"/>
      <w:r>
        <w:rPr>
          <w:rFonts w:ascii="宋体" w:eastAsia="宋体" w:hAnsi="宋体" w:cs="宋体" w:hint="eastAsia"/>
          <w:szCs w:val="21"/>
          <w:shd w:val="clear" w:color="auto" w:fill="FFFFFF"/>
          <w:lang w:bidi="ar"/>
        </w:rPr>
        <w:t>计算应遵循《资本新规》相关要求：</w:t>
      </w:r>
    </w:p>
    <w:p w14:paraId="60CD9060" w14:textId="77777777" w:rsidR="00805296" w:rsidRDefault="00000000">
      <w:pPr>
        <w:pStyle w:val="a7"/>
        <w:spacing w:beforeAutospacing="0" w:afterAutospacing="0" w:line="360" w:lineRule="auto"/>
        <w:jc w:val="both"/>
        <w:rPr>
          <w:rFonts w:cs="宋体" w:hint="default"/>
          <w:b/>
          <w:bCs/>
          <w:kern w:val="2"/>
          <w:sz w:val="21"/>
          <w:szCs w:val="21"/>
          <w:shd w:val="clear" w:color="auto" w:fill="FFFFFF"/>
          <w:lang w:bidi="ar"/>
        </w:rPr>
      </w:pPr>
      <w:r>
        <w:rPr>
          <w:rFonts w:cs="宋体"/>
          <w:b/>
          <w:bCs/>
          <w:kern w:val="2"/>
          <w:sz w:val="21"/>
          <w:szCs w:val="21"/>
          <w:shd w:val="clear" w:color="auto" w:fill="FFFFFF"/>
          <w:lang w:bidi="ar"/>
        </w:rPr>
        <w:t>A、总体要求</w:t>
      </w:r>
    </w:p>
    <w:p w14:paraId="4928AC2F"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（一）商业银行应按照本附件计量银行账簿资产管理产品的风险加权资产，包括商业银行应计入表外项目的资产管理产品（如认购资产管理产品的承诺）。</w:t>
      </w:r>
    </w:p>
    <w:p w14:paraId="386263D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本附件所称资产管理产品包括但不限于银行及其设立的理财公司非保本理财产品，资金信托，私募投资基金，证券公司及其子公司、基金管理公司及其子公司、期货公司及其子公司、保险资产管理机构、金融资产投资公司发行的资产管理产品以及其他符合资产管理产品定义的产品。</w:t>
      </w:r>
    </w:p>
    <w:p w14:paraId="319CDDA3"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在资本部分已扣除的资产管理产品和基础资产不适用本规则。</w:t>
      </w:r>
    </w:p>
    <w:p w14:paraId="69EF885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（二）商业银行应根据可获取信息的程度，采用穿透法、授权基础法计量资产管理产品的风险加权资产。</w:t>
      </w:r>
    </w:p>
    <w:p w14:paraId="254E2815"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（三）商业银行无法使用穿透法、授权基础法计量的，应采用1250%的风险权重计量资产管理产品的风险加权资产。</w:t>
      </w:r>
    </w:p>
    <w:p w14:paraId="42646321"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（四）商业银行采用穿透法或授权基础法计算资产管理产品风险加权资产的，应对资产管理产品的风险权重进行杠杆调整。</w:t>
      </w:r>
    </w:p>
    <w:p w14:paraId="203BB6F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（五）商业银行可以综合采用多种方法计量同一资产管理产品的风险加权资产。</w:t>
      </w:r>
    </w:p>
    <w:p w14:paraId="2DE7E51F"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（六）对于同一资产管理产品，商业银行应在持有期内使用统一的计量方法。</w:t>
      </w:r>
    </w:p>
    <w:p w14:paraId="344DAE9A"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（七）商业银行应采用最新一期数据计量资产管理产品的风险加权资产。</w:t>
      </w:r>
    </w:p>
    <w:p w14:paraId="233029B5" w14:textId="77777777" w:rsidR="00805296" w:rsidRDefault="00000000">
      <w:pPr>
        <w:pStyle w:val="a7"/>
        <w:spacing w:beforeAutospacing="0" w:afterAutospacing="0" w:line="360" w:lineRule="auto"/>
        <w:jc w:val="both"/>
        <w:rPr>
          <w:rFonts w:cs="宋体" w:hint="default"/>
          <w:b/>
          <w:bCs/>
          <w:kern w:val="2"/>
          <w:sz w:val="21"/>
          <w:szCs w:val="21"/>
          <w:shd w:val="clear" w:color="auto" w:fill="FFFFFF"/>
          <w:lang w:bidi="ar"/>
        </w:rPr>
      </w:pPr>
      <w:r>
        <w:rPr>
          <w:rFonts w:cs="宋体"/>
          <w:b/>
          <w:bCs/>
          <w:kern w:val="2"/>
          <w:sz w:val="21"/>
          <w:szCs w:val="21"/>
          <w:shd w:val="clear" w:color="auto" w:fill="FFFFFF"/>
          <w:lang w:bidi="ar"/>
        </w:rPr>
        <w:t>B、穿透法实施条件及计量规则</w:t>
      </w:r>
    </w:p>
    <w:p w14:paraId="09BCBD7A"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（一）实施条件</w:t>
      </w:r>
    </w:p>
    <w:p w14:paraId="28BDB80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商业银行采用穿透法计量资产管理产品风险加权资产，应当符合以下条件：</w:t>
      </w:r>
    </w:p>
    <w:p w14:paraId="114AB68C"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1.商业银行应获取足够、充分的基础资产信息，用于计算基础资产的风险加权资产。</w:t>
      </w:r>
    </w:p>
    <w:p w14:paraId="7A49DAF1"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2.商业银行所获取的基础资产信息能够被</w:t>
      </w:r>
      <w:proofErr w:type="gramStart"/>
      <w:r>
        <w:rPr>
          <w:rFonts w:cs="宋体"/>
          <w:kern w:val="2"/>
          <w:sz w:val="21"/>
          <w:szCs w:val="21"/>
          <w:shd w:val="clear" w:color="auto" w:fill="FFFFFF"/>
          <w:lang w:bidi="ar"/>
        </w:rPr>
        <w:t>独立第三</w:t>
      </w:r>
      <w:proofErr w:type="gramEnd"/>
      <w:r>
        <w:rPr>
          <w:rFonts w:cs="宋体"/>
          <w:kern w:val="2"/>
          <w:sz w:val="21"/>
          <w:szCs w:val="21"/>
          <w:shd w:val="clear" w:color="auto" w:fill="FFFFFF"/>
          <w:lang w:bidi="ar"/>
        </w:rPr>
        <w:t>方确认。</w:t>
      </w:r>
    </w:p>
    <w:p w14:paraId="7E6157B1"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前款所称“独立第三方”是指独立于资产管理产品管理人的其他机构，如托管人、会计师事务所。特定情况下，包括资产管理产品管理人。</w:t>
      </w:r>
    </w:p>
    <w:p w14:paraId="776E232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（二）计量规则</w:t>
      </w:r>
    </w:p>
    <w:p w14:paraId="574760C4"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1.商业银行应视同直接持有资产管理产品基础资产，采用与本行直接持有基础资产一致的方式，计量资产管理产品的风险加权资产。</w:t>
      </w:r>
    </w:p>
    <w:p w14:paraId="685811B2"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lastRenderedPageBreak/>
        <w:t>（1）商业银行应按照《资本新规》附件13，对穿透后的基础资产进行账簿划分，并根据其风险类别分别纳入相应的风险框架计量。</w:t>
      </w:r>
    </w:p>
    <w:p w14:paraId="15ABD958"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（2）商业银行采用权重法计量信用风险加权资产的，应采用权重法计算资产管理产品基础资产的风险权重。</w:t>
      </w:r>
    </w:p>
    <w:p w14:paraId="7CBDCC39"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3）商业银行采用内部评级法计量信用风险加权资产的，应按照内部评级法的相关要求计算基础资产的违约概率、违约损失率和违约风险暴露等风险参数，并经国家金融监督管理总局或其派出机构验收通过。对于内部评级法未覆盖的风险暴露，或者未通过国家金融监督管理总局或其派出机构验收的，商业银行应采用权重法计量基础资产的风险权重。</w:t>
      </w:r>
    </w:p>
    <w:p w14:paraId="18509CF2"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（4）对于银行账簿资产证券化风险暴露，商业银行应按照《资本新规》附件11的规定计量风险权重。</w:t>
      </w:r>
    </w:p>
    <w:p w14:paraId="67A1BBAA"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5）商业银行应计量资产管理产品基础资产的交易对手信用风险。在需要计量信用估值调整风险时，信用估值调整风险加权资产等于1.5倍的交易对手违约风险暴露与交易对手风险权重之积，商业银行可不按照《资本新规》附件17的规定计量。</w:t>
      </w:r>
    </w:p>
    <w:p w14:paraId="42A95B19"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（6）对于穿透后应纳入市场风险资本计量范围的基础资产，应按照本办法市场风险相关规则计量市场风险资本要求。</w:t>
      </w:r>
    </w:p>
    <w:p w14:paraId="7618AEF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2.商业银行缺乏足够的数据或信息计量资产管理产品风险加权资产的，若满足以下要求，可以通过第三方进行计量。</w:t>
      </w:r>
    </w:p>
    <w:p w14:paraId="2BFD0E40"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（1）第三方应至少满足以下标准：</w:t>
      </w:r>
    </w:p>
    <w:p w14:paraId="261882E5"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a.商业银行能够从第三方获取其用于计算资产管理产品风险加权资产的充足信息。</w:t>
      </w:r>
    </w:p>
    <w:p w14:paraId="1562564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b.第三方的计量频率应至少与商业银行财务报告的频率相同。</w:t>
      </w:r>
    </w:p>
    <w:p w14:paraId="78946F0D"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c.第三方为托管人或资产管理产品管理人。</w:t>
      </w:r>
    </w:p>
    <w:p w14:paraId="71754BB1"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d.第三方的计量结果应经外部审计，且审计结果合格。</w:t>
      </w:r>
    </w:p>
    <w:p w14:paraId="3BE5BCD0"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（2）第三方应执行以下计量规则：</w:t>
      </w:r>
    </w:p>
    <w:p w14:paraId="7789469C"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a.第三方应采用权重法计量资产管理产品的信用风险加权资产。</w:t>
      </w:r>
    </w:p>
    <w:p w14:paraId="6866C0B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b.对于银行账簿资产证券化风险暴露，第三方应根据《资本新规》附件11的规定计算风险权重，但不得使用资产证券化内部评级法。</w:t>
      </w:r>
    </w:p>
    <w:p w14:paraId="48FBF1A4"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lastRenderedPageBreak/>
        <w:t>c.第三方应计量资产管理产品基础资产的交易对手信用风险。在需要计量信用估值调整风险时，信用估值调整风险加权资产等于1.5倍的交易对手违约风险暴露与交易对手风险权重之积。</w:t>
      </w:r>
    </w:p>
    <w:p w14:paraId="0471ED29"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d.第三方所采用的风险权重应为商业银行直接持有资产管理产品基础资产适用的风险权重的1.2倍。</w:t>
      </w:r>
    </w:p>
    <w:p w14:paraId="21A3E370"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e.对于穿透后应纳入市场风险资本计量范围的基础资产，第三方应按照本办法市场风险相关规则计量市场风险资本要求，但不得使用内部模型法。</w:t>
      </w:r>
    </w:p>
    <w:p w14:paraId="2758F33D" w14:textId="77777777" w:rsidR="00805296" w:rsidRDefault="00000000">
      <w:pPr>
        <w:pStyle w:val="a7"/>
        <w:spacing w:beforeAutospacing="0" w:afterAutospacing="0" w:line="360" w:lineRule="auto"/>
        <w:jc w:val="both"/>
        <w:rPr>
          <w:rFonts w:cs="宋体" w:hint="default"/>
          <w:b/>
          <w:bCs/>
          <w:kern w:val="2"/>
          <w:sz w:val="21"/>
          <w:szCs w:val="21"/>
          <w:shd w:val="clear" w:color="auto" w:fill="FFFFFF"/>
          <w:lang w:bidi="ar"/>
        </w:rPr>
      </w:pPr>
      <w:r>
        <w:rPr>
          <w:rFonts w:cs="宋体"/>
          <w:b/>
          <w:bCs/>
          <w:kern w:val="2"/>
          <w:sz w:val="21"/>
          <w:szCs w:val="21"/>
          <w:shd w:val="clear" w:color="auto" w:fill="FFFFFF"/>
          <w:lang w:bidi="ar"/>
        </w:rPr>
        <w:t>C、授权基础法实施条件及计量规则</w:t>
      </w:r>
    </w:p>
    <w:p w14:paraId="1A7843C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（一）实施条件</w:t>
      </w:r>
    </w:p>
    <w:p w14:paraId="12CDE4B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1.商业银行不满足采用穿透法计量资产管理产品风险加权资产的实施条件。</w:t>
      </w:r>
    </w:p>
    <w:p w14:paraId="7FCD1B9F"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2.商业银行可以利用资产管理产品募集说明书、定期报告、资产管理产品披露的其他信息或管理此类资产管理产品的国家法律法规，计量资产管理产品的风险加权资产。</w:t>
      </w:r>
    </w:p>
    <w:p w14:paraId="7AA9915A"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（二）计量规则</w:t>
      </w:r>
    </w:p>
    <w:p w14:paraId="563A2DCB"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1.商业银行采用授权基础法计量资产管理产品的风险加权资产应为以下三个项目之和：</w:t>
      </w:r>
    </w:p>
    <w:p w14:paraId="10FBA794"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对于表内风险暴露，商业银行应假设资产管理产品的投资组合在授权投资范围内，按照风险权重由高到低的顺序，依次投资对应的资产至最高投资额度，以此进行风险加权资产计量。如果同类风险暴露拥有多个风险权重时，商业银行应采用最高的风险权重。</w:t>
      </w:r>
    </w:p>
    <w:p w14:paraId="2158A2A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对于衍生工具交易或表外业务的风险暴露，商业银行应将衍生工具或表外业务的名义金额作为风险暴露进行风险加权。对于无法获得衍生工具名义金额的，应保守使用资产管理产品授权投资衍生工具范围的最大名义金额。</w:t>
      </w:r>
    </w:p>
    <w:p w14:paraId="60647186"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3）对于交易对手信用风险，并表口径衍生工具名义本金达到5000亿元人民币（含）或占总资产比例达到30%（含）以上的商业银行，应采用标准法（SA-CCR）计算交易对手违约风险暴露，其他商业银行应采用现期风险暴露法计算交易对手违约风险暴露。采用SA-CCR的商业银行，如果无法获得重置成本，应采用名义本金作为重置成本，并将潜在风险暴露中的乘数因子设为1；如果无法获得潜在风险暴露，应采用名义本金乘以15%作为潜在风险暴露。采用现期风险暴露法的商业银行，如果无法获得重置成本，应采用名义本金作为重置成本；如果无法获得附加因子，应采用15%作为附加因子。</w:t>
      </w:r>
    </w:p>
    <w:p w14:paraId="08641CD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lastRenderedPageBreak/>
        <w:t>在需要计量信用估值调整风险时，信用估值调整风险加权资产等于1.5倍的交易对手违约风险暴露与交易对手风险权重之积，商业银行无需按照本办法附件17的规定计量。</w:t>
      </w:r>
    </w:p>
    <w:p w14:paraId="03B41571"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2.商业银行应采用权重法计量资产管理产品的信用风险加权资产。对于资产证券化风险暴露，应按照《资本新规》附件11的规定计算，但不得使用资产证券化内部评级法。</w:t>
      </w:r>
    </w:p>
    <w:p w14:paraId="2EA74AA5"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D、杠杆调整</w:t>
      </w:r>
    </w:p>
    <w:p w14:paraId="62E7776D"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商业银行采用穿透法或授权基础法计算资产管理产品的风险加权资产的，应采用下列公式对资产管理产品的平均风险权重进行杠杆调整，但调整后的平均风险权重应不高于1250%。</w:t>
      </w:r>
    </w:p>
    <w:p w14:paraId="64DD887B"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其中：</w:t>
      </w:r>
    </w:p>
    <w:p w14:paraId="21C9C880"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1.是指银行投资资产管理产品的风险加权资产；</w:t>
      </w:r>
    </w:p>
    <w:p w14:paraId="551DACF7"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2.是指资产管理产品的平均风险权重，为用资产管理产品风险加权资产除以资产管理产品总资产；</w:t>
      </w:r>
    </w:p>
    <w:p w14:paraId="6E817118"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3.是指资产管理产品的杠杆率，为用总资产除以净资产。在授权基础法中，杠杆率可通过资产管理产品募集说明书、定期报告或管理此类资产管理产品的国家法律法规允许的最大财务杠杆进行确定。</w:t>
      </w:r>
    </w:p>
    <w:p w14:paraId="76DC9F19"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4.是指商业银行投资资产管理产品的金额，为用商业银行持有的资产管理产品份额占比乘以资产管理产品净资产。</w:t>
      </w:r>
    </w:p>
    <w:p w14:paraId="08D08C2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E、资产管理产品嵌套的处理方式</w:t>
      </w:r>
    </w:p>
    <w:p w14:paraId="439E6B32"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商业银行直接投资的资产管理产品嵌套其他资产管理产品，应采取如下方法计量：</w:t>
      </w:r>
    </w:p>
    <w:p w14:paraId="2F8336A1"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（1）商业银行仅采用穿透法计量的，应逐层使用穿透法计量。</w:t>
      </w:r>
    </w:p>
    <w:p w14:paraId="57D393AE" w14:textId="77777777" w:rsidR="00805296" w:rsidRDefault="00000000">
      <w:pPr>
        <w:pStyle w:val="a7"/>
        <w:spacing w:beforeAutospacing="0" w:afterAutospacing="0" w:line="360" w:lineRule="auto"/>
        <w:jc w:val="both"/>
        <w:rPr>
          <w:rFonts w:cs="宋体" w:hint="default"/>
          <w:kern w:val="2"/>
          <w:sz w:val="21"/>
          <w:szCs w:val="21"/>
          <w:shd w:val="clear" w:color="auto" w:fill="FFFFFF"/>
          <w:lang w:bidi="ar"/>
        </w:rPr>
      </w:pPr>
      <w:r>
        <w:rPr>
          <w:rFonts w:cs="宋体"/>
          <w:kern w:val="2"/>
          <w:sz w:val="21"/>
          <w:szCs w:val="21"/>
          <w:shd w:val="clear" w:color="auto" w:fill="FFFFFF"/>
          <w:lang w:bidi="ar"/>
        </w:rPr>
        <w:t>（2）商业银行无法仅使用穿透法的，应采用授权基础法、1250%的风险权重或综合使用多种方法计量。对于嵌套的第三层以上层级，仅可采用1250%的风险权重计量。</w:t>
      </w:r>
    </w:p>
    <w:p w14:paraId="6AD56834" w14:textId="77777777" w:rsidR="00805296" w:rsidRDefault="00000000">
      <w:pPr>
        <w:pStyle w:val="a7"/>
        <w:spacing w:beforeAutospacing="0" w:afterAutospacing="0" w:line="360" w:lineRule="auto"/>
        <w:jc w:val="both"/>
        <w:rPr>
          <w:rFonts w:cs="宋体" w:hint="default"/>
          <w:b/>
          <w:bCs/>
          <w:kern w:val="2"/>
          <w:sz w:val="21"/>
          <w:szCs w:val="21"/>
          <w:shd w:val="clear" w:color="auto" w:fill="FFFFFF"/>
          <w:lang w:bidi="ar"/>
        </w:rPr>
      </w:pPr>
      <w:r>
        <w:rPr>
          <w:rFonts w:cs="宋体"/>
          <w:b/>
          <w:bCs/>
          <w:kern w:val="2"/>
          <w:sz w:val="21"/>
          <w:szCs w:val="21"/>
          <w:shd w:val="clear" w:color="auto" w:fill="FFFFFF"/>
          <w:lang w:bidi="ar"/>
        </w:rPr>
        <w:t>D、外部审计</w:t>
      </w:r>
      <w:proofErr w:type="gramStart"/>
      <w:r>
        <w:rPr>
          <w:rFonts w:cs="宋体"/>
          <w:b/>
          <w:bCs/>
          <w:kern w:val="2"/>
          <w:sz w:val="21"/>
          <w:szCs w:val="21"/>
          <w:shd w:val="clear" w:color="auto" w:fill="FFFFFF"/>
          <w:lang w:bidi="ar"/>
        </w:rPr>
        <w:t>鉴证</w:t>
      </w:r>
      <w:proofErr w:type="gramEnd"/>
      <w:r>
        <w:rPr>
          <w:rFonts w:cs="宋体"/>
          <w:b/>
          <w:bCs/>
          <w:kern w:val="2"/>
          <w:sz w:val="21"/>
          <w:szCs w:val="21"/>
          <w:shd w:val="clear" w:color="auto" w:fill="FFFFFF"/>
          <w:lang w:bidi="ar"/>
        </w:rPr>
        <w:t>服务中，除上述计算要求外，还应遵守《资本新规》其他条款及其他相关法规的规定，如后续监管部门有其他新发或修订法规要求，则也需遵从对应要求。</w:t>
      </w:r>
    </w:p>
    <w:p w14:paraId="180B859C" w14:textId="77777777" w:rsidR="00805296" w:rsidRDefault="00805296">
      <w:pPr>
        <w:pStyle w:val="a7"/>
        <w:spacing w:beforeAutospacing="0" w:afterAutospacing="0" w:line="360" w:lineRule="auto"/>
        <w:jc w:val="both"/>
        <w:rPr>
          <w:rFonts w:cs="宋体" w:hint="default"/>
          <w:b/>
          <w:bCs/>
          <w:kern w:val="2"/>
          <w:sz w:val="21"/>
          <w:szCs w:val="21"/>
          <w:shd w:val="clear" w:color="auto" w:fill="FFFFFF"/>
          <w:lang w:bidi="ar"/>
        </w:rPr>
      </w:pPr>
    </w:p>
    <w:p w14:paraId="0D1168BF" w14:textId="77777777" w:rsidR="00805296" w:rsidRDefault="00000000">
      <w:pPr>
        <w:spacing w:line="360" w:lineRule="auto"/>
        <w:rPr>
          <w:rFonts w:ascii="宋体" w:eastAsia="宋体" w:hAnsi="宋体" w:cs="宋体"/>
          <w:b/>
          <w:bCs/>
          <w:color w:val="000000"/>
          <w:szCs w:val="21"/>
        </w:rPr>
      </w:pPr>
      <w:r>
        <w:rPr>
          <w:rFonts w:ascii="宋体" w:eastAsia="宋体" w:hAnsi="宋体" w:cs="Calibri" w:hint="eastAsia"/>
          <w:b/>
          <w:bCs/>
          <w:szCs w:val="21"/>
          <w:shd w:val="clear" w:color="auto" w:fill="FFFFFF"/>
          <w:lang w:bidi="ar"/>
        </w:rPr>
        <w:t>三、</w:t>
      </w:r>
      <w:r>
        <w:rPr>
          <w:rFonts w:ascii="宋体" w:eastAsia="宋体" w:hAnsi="宋体" w:cs="宋体" w:hint="eastAsia"/>
          <w:b/>
          <w:bCs/>
          <w:color w:val="000000"/>
          <w:szCs w:val="21"/>
          <w:lang w:bidi="ar"/>
        </w:rPr>
        <w:t>保密要求</w:t>
      </w:r>
    </w:p>
    <w:p w14:paraId="6FEC2E44" w14:textId="77777777" w:rsidR="00805296" w:rsidRDefault="00000000">
      <w:pPr>
        <w:pStyle w:val="a7"/>
        <w:spacing w:beforeAutospacing="0" w:afterAutospacing="0" w:line="360" w:lineRule="auto"/>
        <w:ind w:firstLine="420"/>
        <w:jc w:val="both"/>
        <w:rPr>
          <w:rFonts w:cs="宋体" w:hint="default"/>
          <w:kern w:val="2"/>
          <w:sz w:val="21"/>
          <w:szCs w:val="21"/>
          <w:shd w:val="clear" w:color="auto" w:fill="FFFFFF"/>
          <w:lang w:bidi="ar"/>
        </w:rPr>
      </w:pPr>
      <w:r>
        <w:rPr>
          <w:rFonts w:cs="宋体"/>
          <w:kern w:val="2"/>
          <w:sz w:val="21"/>
          <w:szCs w:val="21"/>
          <w:shd w:val="clear" w:color="auto" w:fill="FFFFFF"/>
          <w:lang w:bidi="ar"/>
        </w:rPr>
        <w:t>项目合作期间，负责本项目的外部审计机构应严格遵守相关法律法规要求及保密性要求，不得泄露审计过程获取的各类项目信息及上</w:t>
      </w:r>
      <w:proofErr w:type="gramStart"/>
      <w:r>
        <w:rPr>
          <w:rFonts w:cs="宋体"/>
          <w:kern w:val="2"/>
          <w:sz w:val="21"/>
          <w:szCs w:val="21"/>
          <w:shd w:val="clear" w:color="auto" w:fill="FFFFFF"/>
          <w:lang w:bidi="ar"/>
        </w:rPr>
        <w:t>银基金</w:t>
      </w:r>
      <w:proofErr w:type="gramEnd"/>
      <w:r>
        <w:rPr>
          <w:rFonts w:cs="宋体"/>
          <w:kern w:val="2"/>
          <w:sz w:val="21"/>
          <w:szCs w:val="21"/>
          <w:shd w:val="clear" w:color="auto" w:fill="FFFFFF"/>
          <w:lang w:bidi="ar"/>
        </w:rPr>
        <w:t>旗下的产品相关信息。项目中所获取的上</w:t>
      </w:r>
      <w:proofErr w:type="gramStart"/>
      <w:r>
        <w:rPr>
          <w:rFonts w:cs="宋体"/>
          <w:kern w:val="2"/>
          <w:sz w:val="21"/>
          <w:szCs w:val="21"/>
          <w:shd w:val="clear" w:color="auto" w:fill="FFFFFF"/>
          <w:lang w:bidi="ar"/>
        </w:rPr>
        <w:t>银</w:t>
      </w:r>
      <w:r>
        <w:rPr>
          <w:rFonts w:cs="宋体"/>
          <w:kern w:val="2"/>
          <w:sz w:val="21"/>
          <w:szCs w:val="21"/>
          <w:shd w:val="clear" w:color="auto" w:fill="FFFFFF"/>
          <w:lang w:bidi="ar"/>
        </w:rPr>
        <w:lastRenderedPageBreak/>
        <w:t>基金</w:t>
      </w:r>
      <w:proofErr w:type="gramEnd"/>
      <w:r>
        <w:rPr>
          <w:rFonts w:cs="宋体"/>
          <w:kern w:val="2"/>
          <w:sz w:val="21"/>
          <w:szCs w:val="21"/>
          <w:shd w:val="clear" w:color="auto" w:fill="FFFFFF"/>
          <w:lang w:bidi="ar"/>
        </w:rPr>
        <w:t>及其旗下产品的信息及资料仅用于本项目审计</w:t>
      </w:r>
      <w:proofErr w:type="gramStart"/>
      <w:r>
        <w:rPr>
          <w:rFonts w:cs="宋体"/>
          <w:kern w:val="2"/>
          <w:sz w:val="21"/>
          <w:szCs w:val="21"/>
          <w:shd w:val="clear" w:color="auto" w:fill="FFFFFF"/>
          <w:lang w:bidi="ar"/>
        </w:rPr>
        <w:t>鉴证</w:t>
      </w:r>
      <w:proofErr w:type="gramEnd"/>
      <w:r>
        <w:rPr>
          <w:rFonts w:cs="宋体"/>
          <w:kern w:val="2"/>
          <w:sz w:val="21"/>
          <w:szCs w:val="21"/>
          <w:shd w:val="clear" w:color="auto" w:fill="FFFFFF"/>
          <w:lang w:bidi="ar"/>
        </w:rPr>
        <w:t>相关工作，</w:t>
      </w:r>
      <w:r>
        <w:rPr>
          <w:rFonts w:cs="宋体" w:hint="default"/>
          <w:kern w:val="2"/>
          <w:sz w:val="21"/>
          <w:szCs w:val="21"/>
          <w:shd w:val="clear" w:color="auto" w:fill="FFFFFF"/>
          <w:lang w:bidi="ar"/>
        </w:rPr>
        <w:t>除此之外，</w:t>
      </w:r>
      <w:r>
        <w:rPr>
          <w:rFonts w:cs="宋体"/>
          <w:kern w:val="2"/>
          <w:sz w:val="21"/>
          <w:szCs w:val="21"/>
          <w:shd w:val="clear" w:color="auto" w:fill="FFFFFF"/>
          <w:lang w:bidi="ar"/>
        </w:rPr>
        <w:t>外部审计机构</w:t>
      </w:r>
      <w:r>
        <w:rPr>
          <w:rFonts w:cs="宋体" w:hint="default"/>
          <w:kern w:val="2"/>
          <w:sz w:val="21"/>
          <w:szCs w:val="21"/>
          <w:shd w:val="clear" w:color="auto" w:fill="FFFFFF"/>
          <w:lang w:bidi="ar"/>
        </w:rPr>
        <w:t>不得将</w:t>
      </w:r>
      <w:r>
        <w:rPr>
          <w:rFonts w:cs="宋体"/>
          <w:kern w:val="2"/>
          <w:sz w:val="21"/>
          <w:szCs w:val="21"/>
          <w:shd w:val="clear" w:color="auto" w:fill="FFFFFF"/>
          <w:lang w:bidi="ar"/>
        </w:rPr>
        <w:t>上述</w:t>
      </w:r>
      <w:r>
        <w:rPr>
          <w:rFonts w:cs="宋体" w:hint="default"/>
          <w:kern w:val="2"/>
          <w:sz w:val="21"/>
          <w:szCs w:val="21"/>
          <w:shd w:val="clear" w:color="auto" w:fill="FFFFFF"/>
          <w:lang w:bidi="ar"/>
        </w:rPr>
        <w:t>信息提供给本协议约定范围之外的任何第三方。</w:t>
      </w:r>
    </w:p>
    <w:p w14:paraId="52B7E076" w14:textId="77777777" w:rsidR="00805296" w:rsidRDefault="00805296">
      <w:pPr>
        <w:pStyle w:val="a7"/>
        <w:spacing w:beforeAutospacing="0" w:afterAutospacing="0" w:line="360" w:lineRule="auto"/>
        <w:jc w:val="both"/>
        <w:rPr>
          <w:rFonts w:cs="宋体" w:hint="default"/>
          <w:kern w:val="2"/>
          <w:sz w:val="21"/>
          <w:szCs w:val="21"/>
          <w:shd w:val="clear" w:color="auto" w:fill="FFFFFF"/>
          <w:lang w:bidi="ar"/>
        </w:rPr>
      </w:pPr>
    </w:p>
    <w:p w14:paraId="732AEF26" w14:textId="77777777" w:rsidR="00805296" w:rsidRDefault="00000000">
      <w:pPr>
        <w:pStyle w:val="7"/>
        <w:widowControl/>
        <w:numPr>
          <w:ilvl w:val="0"/>
          <w:numId w:val="0"/>
        </w:numPr>
        <w:tabs>
          <w:tab w:val="left" w:pos="3360"/>
        </w:tabs>
        <w:spacing w:line="360" w:lineRule="auto"/>
        <w:jc w:val="both"/>
        <w:rPr>
          <w:rFonts w:hint="default"/>
          <w:b/>
          <w:kern w:val="2"/>
          <w:sz w:val="21"/>
          <w:szCs w:val="21"/>
        </w:rPr>
      </w:pPr>
      <w:r>
        <w:rPr>
          <w:rFonts w:ascii="宋体" w:eastAsia="宋体" w:cs="宋体"/>
          <w:b/>
          <w:kern w:val="2"/>
          <w:sz w:val="21"/>
          <w:szCs w:val="21"/>
        </w:rPr>
        <w:t>四、团队配置</w:t>
      </w:r>
    </w:p>
    <w:p w14:paraId="51256E4E" w14:textId="77777777" w:rsidR="00805296" w:rsidRDefault="00000000">
      <w:pPr>
        <w:pStyle w:val="a7"/>
        <w:spacing w:beforeAutospacing="0" w:afterAutospacing="0" w:line="360" w:lineRule="auto"/>
        <w:ind w:firstLine="420"/>
        <w:jc w:val="both"/>
        <w:rPr>
          <w:rFonts w:cs="宋体" w:hint="default"/>
          <w:kern w:val="2"/>
          <w:sz w:val="21"/>
          <w:szCs w:val="21"/>
          <w:shd w:val="clear" w:color="auto" w:fill="FFFFFF"/>
          <w:lang w:bidi="ar"/>
        </w:rPr>
      </w:pPr>
      <w:r>
        <w:rPr>
          <w:rFonts w:cs="宋体"/>
          <w:kern w:val="2"/>
          <w:sz w:val="21"/>
          <w:szCs w:val="21"/>
          <w:shd w:val="clear" w:color="auto" w:fill="FFFFFF"/>
          <w:lang w:bidi="ar"/>
        </w:rPr>
        <w:t>负责本项目的外部审计机构应有独立团队或相对固定的专业团队，负责《资本新规》要求下基金管理人作为第三方计量风险加权资产审计</w:t>
      </w:r>
      <w:proofErr w:type="gramStart"/>
      <w:r>
        <w:rPr>
          <w:rFonts w:cs="宋体"/>
          <w:kern w:val="2"/>
          <w:sz w:val="21"/>
          <w:szCs w:val="21"/>
          <w:shd w:val="clear" w:color="auto" w:fill="FFFFFF"/>
          <w:lang w:bidi="ar"/>
        </w:rPr>
        <w:t>鉴证</w:t>
      </w:r>
      <w:proofErr w:type="gramEnd"/>
      <w:r>
        <w:rPr>
          <w:rFonts w:cs="宋体"/>
          <w:kern w:val="2"/>
          <w:sz w:val="21"/>
          <w:szCs w:val="21"/>
          <w:shd w:val="clear" w:color="auto" w:fill="FFFFFF"/>
          <w:lang w:bidi="ar"/>
        </w:rPr>
        <w:t>服务，其项目主管合伙人应具有不低于10年基金管理公司、商业银行及公</w:t>
      </w:r>
      <w:proofErr w:type="gramStart"/>
      <w:r>
        <w:rPr>
          <w:rFonts w:cs="宋体"/>
          <w:kern w:val="2"/>
          <w:sz w:val="21"/>
          <w:szCs w:val="21"/>
          <w:shd w:val="clear" w:color="auto" w:fill="FFFFFF"/>
          <w:lang w:bidi="ar"/>
        </w:rPr>
        <w:t>募基金</w:t>
      </w:r>
      <w:proofErr w:type="gramEnd"/>
      <w:r>
        <w:rPr>
          <w:rFonts w:cs="宋体"/>
          <w:kern w:val="2"/>
          <w:sz w:val="21"/>
          <w:szCs w:val="21"/>
          <w:shd w:val="clear" w:color="auto" w:fill="FFFFFF"/>
          <w:lang w:bidi="ar"/>
        </w:rPr>
        <w:t>财务审计咨询等专业经验，项目团队人数保持不低于七人，人员中具有3年及</w:t>
      </w:r>
      <w:proofErr w:type="gramStart"/>
      <w:r>
        <w:rPr>
          <w:rFonts w:cs="宋体"/>
          <w:kern w:val="2"/>
          <w:sz w:val="21"/>
          <w:szCs w:val="21"/>
          <w:shd w:val="clear" w:color="auto" w:fill="FFFFFF"/>
          <w:lang w:bidi="ar"/>
        </w:rPr>
        <w:t>以上公募基金</w:t>
      </w:r>
      <w:proofErr w:type="gramEnd"/>
      <w:r>
        <w:rPr>
          <w:rFonts w:cs="宋体"/>
          <w:kern w:val="2"/>
          <w:sz w:val="21"/>
          <w:szCs w:val="21"/>
          <w:shd w:val="clear" w:color="auto" w:fill="FFFFFF"/>
          <w:lang w:bidi="ar"/>
        </w:rPr>
        <w:t>财务审计经验的人员比例不低于50%。</w:t>
      </w:r>
    </w:p>
    <w:p w14:paraId="24057696" w14:textId="77777777" w:rsidR="00805296" w:rsidRDefault="00805296">
      <w:pPr>
        <w:pStyle w:val="a7"/>
        <w:spacing w:beforeAutospacing="0" w:afterAutospacing="0" w:line="360" w:lineRule="auto"/>
        <w:ind w:firstLine="420"/>
        <w:jc w:val="both"/>
        <w:rPr>
          <w:rFonts w:cs="宋体" w:hint="default"/>
          <w:kern w:val="2"/>
          <w:sz w:val="21"/>
          <w:szCs w:val="21"/>
          <w:shd w:val="clear" w:color="auto" w:fill="FFFFFF"/>
          <w:lang w:bidi="ar"/>
        </w:rPr>
      </w:pPr>
    </w:p>
    <w:p w14:paraId="00A32094" w14:textId="77777777" w:rsidR="00805296" w:rsidRDefault="00000000">
      <w:pPr>
        <w:pStyle w:val="7"/>
        <w:widowControl/>
        <w:numPr>
          <w:ilvl w:val="0"/>
          <w:numId w:val="0"/>
        </w:numPr>
        <w:tabs>
          <w:tab w:val="left" w:pos="3360"/>
        </w:tabs>
        <w:spacing w:line="360" w:lineRule="auto"/>
        <w:jc w:val="both"/>
        <w:rPr>
          <w:rFonts w:ascii="宋体" w:eastAsia="宋体" w:cs="宋体" w:hint="default"/>
          <w:b/>
          <w:kern w:val="2"/>
          <w:sz w:val="21"/>
          <w:szCs w:val="21"/>
        </w:rPr>
      </w:pPr>
      <w:r>
        <w:rPr>
          <w:rFonts w:ascii="宋体" w:eastAsia="宋体" w:cs="宋体"/>
          <w:b/>
          <w:kern w:val="2"/>
          <w:sz w:val="21"/>
          <w:szCs w:val="21"/>
        </w:rPr>
        <w:t>五、其他要求</w:t>
      </w:r>
    </w:p>
    <w:p w14:paraId="0D257734" w14:textId="77777777" w:rsidR="00805296" w:rsidRDefault="00000000">
      <w:pPr>
        <w:pStyle w:val="a7"/>
        <w:spacing w:beforeAutospacing="0" w:afterAutospacing="0" w:line="360" w:lineRule="auto"/>
        <w:ind w:firstLineChars="200" w:firstLine="420"/>
        <w:jc w:val="both"/>
        <w:rPr>
          <w:rFonts w:cs="宋体" w:hint="default"/>
          <w:kern w:val="2"/>
          <w:sz w:val="21"/>
          <w:szCs w:val="21"/>
          <w:shd w:val="clear" w:color="auto" w:fill="FFFFFF"/>
          <w:lang w:bidi="ar"/>
        </w:rPr>
      </w:pPr>
      <w:r>
        <w:rPr>
          <w:rFonts w:cs="宋体"/>
          <w:kern w:val="2"/>
          <w:sz w:val="21"/>
          <w:szCs w:val="21"/>
          <w:shd w:val="clear" w:color="auto" w:fill="FFFFFF"/>
          <w:lang w:bidi="ar"/>
        </w:rPr>
        <w:t>为保证商业银行委托人按照《资本新规》要求及时完成资本计量和管理工作，负责本项目的外部审计机构应在上</w:t>
      </w:r>
      <w:proofErr w:type="gramStart"/>
      <w:r>
        <w:rPr>
          <w:rFonts w:cs="宋体"/>
          <w:kern w:val="2"/>
          <w:sz w:val="21"/>
          <w:szCs w:val="21"/>
          <w:shd w:val="clear" w:color="auto" w:fill="FFFFFF"/>
          <w:lang w:bidi="ar"/>
        </w:rPr>
        <w:t>银基金</w:t>
      </w:r>
      <w:proofErr w:type="gramEnd"/>
      <w:r>
        <w:rPr>
          <w:rFonts w:cs="宋体"/>
          <w:kern w:val="2"/>
          <w:sz w:val="21"/>
          <w:szCs w:val="21"/>
          <w:shd w:val="clear" w:color="auto" w:fill="FFFFFF"/>
          <w:lang w:bidi="ar"/>
        </w:rPr>
        <w:t>或其他专业机构向外部审计机构提交第三方风险加权资产计量数据或结果后，2个工作日内完成审计</w:t>
      </w:r>
      <w:proofErr w:type="gramStart"/>
      <w:r>
        <w:rPr>
          <w:rFonts w:cs="宋体"/>
          <w:kern w:val="2"/>
          <w:sz w:val="21"/>
          <w:szCs w:val="21"/>
          <w:shd w:val="clear" w:color="auto" w:fill="FFFFFF"/>
          <w:lang w:bidi="ar"/>
        </w:rPr>
        <w:t>鉴证</w:t>
      </w:r>
      <w:proofErr w:type="gramEnd"/>
      <w:r>
        <w:rPr>
          <w:rFonts w:cs="宋体"/>
          <w:kern w:val="2"/>
          <w:sz w:val="21"/>
          <w:szCs w:val="21"/>
          <w:shd w:val="clear" w:color="auto" w:fill="FFFFFF"/>
          <w:lang w:bidi="ar"/>
        </w:rPr>
        <w:t>报告的出具工作。</w:t>
      </w:r>
    </w:p>
    <w:p w14:paraId="715ACA86" w14:textId="77777777" w:rsidR="00805296" w:rsidRDefault="00805296">
      <w:pPr>
        <w:pStyle w:val="a7"/>
        <w:spacing w:beforeAutospacing="0" w:afterAutospacing="0" w:line="360" w:lineRule="auto"/>
        <w:jc w:val="both"/>
        <w:rPr>
          <w:rFonts w:cs="宋体" w:hint="default"/>
          <w:kern w:val="2"/>
          <w:sz w:val="21"/>
          <w:szCs w:val="21"/>
          <w:shd w:val="clear" w:color="auto" w:fill="FFFFFF"/>
          <w:lang w:bidi="ar"/>
        </w:rPr>
      </w:pPr>
    </w:p>
    <w:p w14:paraId="43186AB5" w14:textId="77777777" w:rsidR="00805296" w:rsidRDefault="00000000">
      <w:pPr>
        <w:pStyle w:val="a7"/>
        <w:spacing w:beforeAutospacing="0" w:afterLines="50" w:after="156" w:afterAutospacing="0" w:line="360" w:lineRule="auto"/>
        <w:jc w:val="both"/>
        <w:rPr>
          <w:rFonts w:cs="宋体" w:hint="default"/>
          <w:kern w:val="2"/>
          <w:sz w:val="21"/>
          <w:szCs w:val="21"/>
          <w:shd w:val="clear" w:color="auto" w:fill="FFFFFF"/>
          <w:lang w:bidi="ar"/>
        </w:rPr>
      </w:pPr>
      <w:r>
        <w:rPr>
          <w:rFonts w:cs="宋体"/>
          <w:b/>
          <w:bCs/>
          <w:kern w:val="2"/>
          <w:sz w:val="21"/>
          <w:szCs w:val="21"/>
          <w:shd w:val="clear" w:color="auto" w:fill="FFFFFF"/>
          <w:lang w:bidi="ar"/>
        </w:rPr>
        <w:t>六、付款方式</w:t>
      </w:r>
    </w:p>
    <w:p w14:paraId="1AC272E7" w14:textId="77777777" w:rsidR="00805296" w:rsidRDefault="00000000">
      <w:pPr>
        <w:pStyle w:val="a7"/>
        <w:widowControl w:val="0"/>
        <w:spacing w:beforeAutospacing="0" w:afterAutospacing="0" w:line="360" w:lineRule="auto"/>
        <w:rPr>
          <w:rFonts w:hint="default"/>
        </w:rPr>
      </w:pPr>
      <w:r>
        <w:rPr>
          <w:rFonts w:ascii="Calibri" w:hAnsi="Courier New" w:cs="宋体"/>
          <w:kern w:val="2"/>
          <w:sz w:val="21"/>
          <w:szCs w:val="21"/>
          <w:lang w:bidi="ar"/>
        </w:rPr>
        <w:t>（一）先服务后付款。经采购人对供应商出具的</w:t>
      </w:r>
      <w:proofErr w:type="gramStart"/>
      <w:r>
        <w:rPr>
          <w:rFonts w:ascii="Calibri" w:hAnsi="Courier New" w:cs="宋体"/>
          <w:kern w:val="2"/>
          <w:sz w:val="21"/>
          <w:szCs w:val="21"/>
          <w:lang w:bidi="ar"/>
        </w:rPr>
        <w:t>鉴证</w:t>
      </w:r>
      <w:proofErr w:type="gramEnd"/>
      <w:r>
        <w:rPr>
          <w:rFonts w:ascii="Calibri" w:hAnsi="Courier New" w:cs="宋体"/>
          <w:kern w:val="2"/>
          <w:sz w:val="21"/>
          <w:szCs w:val="21"/>
          <w:lang w:bidi="ar"/>
        </w:rPr>
        <w:t>报告验收合格，以每半年后据实结算一次。</w:t>
      </w:r>
    </w:p>
    <w:p w14:paraId="30BED6E5" w14:textId="77777777" w:rsidR="00805296" w:rsidRDefault="00000000">
      <w:pPr>
        <w:pStyle w:val="a7"/>
        <w:widowControl w:val="0"/>
        <w:spacing w:beforeAutospacing="0" w:afterAutospacing="0" w:line="360" w:lineRule="auto"/>
        <w:rPr>
          <w:rFonts w:hint="default"/>
        </w:rPr>
      </w:pPr>
      <w:r>
        <w:rPr>
          <w:rFonts w:ascii="Calibri" w:hAnsi="Courier New" w:cs="宋体"/>
          <w:kern w:val="2"/>
          <w:sz w:val="21"/>
          <w:szCs w:val="21"/>
          <w:lang w:bidi="ar"/>
        </w:rPr>
        <w:t>（二）采购</w:t>
      </w:r>
      <w:proofErr w:type="gramStart"/>
      <w:r>
        <w:rPr>
          <w:rFonts w:ascii="Calibri" w:hAnsi="Courier New" w:cs="宋体"/>
          <w:kern w:val="2"/>
          <w:sz w:val="21"/>
          <w:szCs w:val="21"/>
          <w:lang w:bidi="ar"/>
        </w:rPr>
        <w:t>人上述</w:t>
      </w:r>
      <w:proofErr w:type="gramEnd"/>
      <w:r>
        <w:rPr>
          <w:rFonts w:ascii="Calibri" w:hAnsi="Courier New" w:cs="宋体"/>
          <w:kern w:val="2"/>
          <w:sz w:val="21"/>
          <w:szCs w:val="21"/>
          <w:lang w:bidi="ar"/>
        </w:rPr>
        <w:t>支付行为，入围单位应于（每次）提示付款前向招标人出具付款通知及增值税专用发票或者其他合法的增值税可抵扣凭证为前提。</w:t>
      </w:r>
    </w:p>
    <w:p w14:paraId="2446D3E7" w14:textId="77777777" w:rsidR="00805296" w:rsidRDefault="00000000">
      <w:pPr>
        <w:pStyle w:val="a7"/>
        <w:widowControl w:val="0"/>
        <w:spacing w:beforeAutospacing="0" w:afterAutospacing="0" w:line="360" w:lineRule="auto"/>
        <w:rPr>
          <w:rFonts w:hint="default"/>
        </w:rPr>
      </w:pPr>
      <w:r>
        <w:rPr>
          <w:rFonts w:ascii="Calibri" w:hAnsi="Courier New" w:cs="宋体"/>
          <w:kern w:val="2"/>
          <w:sz w:val="21"/>
          <w:szCs w:val="21"/>
          <w:lang w:bidi="ar"/>
        </w:rPr>
        <w:t>（三）若遇国家法律法规变化导致税率变化，则本项目项下不含税价不变，税率按照法律法规规定执行。</w:t>
      </w:r>
    </w:p>
    <w:p w14:paraId="4C3C0E0C" w14:textId="77777777" w:rsidR="00805296" w:rsidRDefault="00805296">
      <w:pPr>
        <w:pStyle w:val="a7"/>
        <w:spacing w:beforeAutospacing="0" w:afterAutospacing="0" w:line="360" w:lineRule="auto"/>
        <w:ind w:firstLineChars="200" w:firstLine="420"/>
        <w:jc w:val="both"/>
        <w:rPr>
          <w:rFonts w:cs="宋体" w:hint="default"/>
          <w:kern w:val="2"/>
          <w:sz w:val="21"/>
          <w:szCs w:val="21"/>
          <w:shd w:val="clear" w:color="auto" w:fill="FFFFFF"/>
          <w:lang w:bidi="ar"/>
        </w:rPr>
      </w:pPr>
    </w:p>
    <w:p w14:paraId="36F3C6FD" w14:textId="77777777" w:rsidR="00805296" w:rsidRDefault="00805296"/>
    <w:sectPr w:rsidR="00805296">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09B78"/>
    <w:multiLevelType w:val="multilevel"/>
    <w:tmpl w:val="9D709B78"/>
    <w:lvl w:ilvl="0">
      <w:start w:val="1"/>
      <w:numFmt w:val="decimal"/>
      <w:pStyle w:val="7"/>
      <w:lvlText w:val="%1."/>
      <w:lvlJc w:val="left"/>
      <w:pPr>
        <w:tabs>
          <w:tab w:val="left" w:pos="840"/>
        </w:tabs>
        <w:ind w:left="840" w:hanging="420"/>
      </w:pPr>
    </w:lvl>
    <w:lvl w:ilvl="1">
      <w:start w:val="1"/>
      <w:numFmt w:val="decimal"/>
      <w:pStyle w:val="2"/>
      <w:lvlText w:val="[%2]"/>
      <w:lvlJc w:val="left"/>
      <w:pPr>
        <w:tabs>
          <w:tab w:val="left" w:pos="1560"/>
        </w:tabs>
        <w:ind w:left="1560" w:hanging="7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E7679651"/>
    <w:multiLevelType w:val="singleLevel"/>
    <w:tmpl w:val="E7679651"/>
    <w:lvl w:ilvl="0">
      <w:start w:val="2"/>
      <w:numFmt w:val="chineseCounting"/>
      <w:suff w:val="nothing"/>
      <w:lvlText w:val="%1、"/>
      <w:lvlJc w:val="left"/>
      <w:rPr>
        <w:rFonts w:hint="eastAsia"/>
      </w:rPr>
    </w:lvl>
  </w:abstractNum>
  <w:num w:numId="1" w16cid:durableId="869800828">
    <w:abstractNumId w:val="0"/>
  </w:num>
  <w:num w:numId="2" w16cid:durableId="1286932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C04909"/>
    <w:rsid w:val="000A6F4F"/>
    <w:rsid w:val="00805296"/>
    <w:rsid w:val="03C04909"/>
    <w:rsid w:val="04F3515E"/>
    <w:rsid w:val="0AC91A49"/>
    <w:rsid w:val="263B1A9D"/>
    <w:rsid w:val="2B7431CC"/>
    <w:rsid w:val="42F6739D"/>
    <w:rsid w:val="5C1E1CA8"/>
    <w:rsid w:val="6D2576E0"/>
    <w:rsid w:val="79256AD7"/>
    <w:rsid w:val="7E3F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DDDCC"/>
  <w15:docId w15:val="{3C2744B1-B89B-488D-B534-71C8217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pPr>
      <w:numPr>
        <w:ilvl w:val="1"/>
        <w:numId w:val="1"/>
      </w:numPr>
      <w:tabs>
        <w:tab w:val="left" w:pos="851"/>
      </w:tabs>
      <w:outlineLvl w:val="1"/>
    </w:pPr>
    <w:rPr>
      <w:rFonts w:ascii="Times New Roman" w:eastAsia="宋体" w:hAnsi="Times New Roman" w:cs="Times New Roman"/>
    </w:rPr>
  </w:style>
  <w:style w:type="paragraph" w:styleId="7">
    <w:name w:val="heading 7"/>
    <w:basedOn w:val="a"/>
    <w:next w:val="a"/>
    <w:link w:val="70"/>
    <w:semiHidden/>
    <w:unhideWhenUsed/>
    <w:qFormat/>
    <w:pPr>
      <w:numPr>
        <w:numId w:val="1"/>
      </w:numPr>
      <w:tabs>
        <w:tab w:val="clear" w:pos="840"/>
        <w:tab w:val="left" w:pos="851"/>
      </w:tabs>
      <w:spacing w:afterLines="50" w:after="156" w:line="380" w:lineRule="exact"/>
      <w:ind w:leftChars="200" w:left="849" w:hangingChars="134" w:hanging="429"/>
      <w:jc w:val="left"/>
      <w:outlineLvl w:val="6"/>
    </w:pPr>
    <w:rPr>
      <w:rFonts w:ascii="仿宋_GB2312" w:eastAsia="仿宋_GB2312" w:hAnsi="宋体" w:cs="Times New Roman" w:hint="eastAsia"/>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rPr>
  </w:style>
  <w:style w:type="paragraph" w:styleId="a5">
    <w:name w:val="Plain Text"/>
    <w:basedOn w:val="a"/>
    <w:link w:val="a6"/>
    <w:pPr>
      <w:jc w:val="left"/>
    </w:pPr>
    <w:rPr>
      <w:rFonts w:ascii="Calibri" w:eastAsia="宋体" w:hAnsi="Courier New" w:cs="Times New Roman"/>
      <w:szCs w:val="21"/>
    </w:rPr>
  </w:style>
  <w:style w:type="paragraph" w:styleId="a7">
    <w:name w:val="Normal (Web)"/>
    <w:basedOn w:val="a"/>
    <w:link w:val="a8"/>
    <w:qFormat/>
    <w:pPr>
      <w:widowControl/>
      <w:spacing w:beforeAutospacing="1" w:afterAutospacing="1"/>
      <w:jc w:val="left"/>
    </w:pPr>
    <w:rPr>
      <w:rFonts w:ascii="宋体" w:eastAsia="宋体" w:hAnsi="宋体" w:cs="Times New Roman" w:hint="eastAsia"/>
      <w:kern w:val="0"/>
      <w:sz w:val="24"/>
    </w:rPr>
  </w:style>
  <w:style w:type="character" w:styleId="HTML">
    <w:name w:val="HTML Typewriter"/>
    <w:basedOn w:val="a0"/>
    <w:qFormat/>
    <w:rPr>
      <w:rFonts w:ascii="宋体" w:eastAsia="宋体" w:hAnsi="宋体" w:cs="宋体" w:hint="eastAsia"/>
      <w:sz w:val="24"/>
      <w:szCs w:val="24"/>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character" w:customStyle="1" w:styleId="msoins0">
    <w:name w:val="msoins"/>
    <w:basedOn w:val="a0"/>
    <w:qFormat/>
  </w:style>
  <w:style w:type="character" w:customStyle="1" w:styleId="a4">
    <w:name w:val="批注文字 字符"/>
    <w:basedOn w:val="a0"/>
    <w:link w:val="a3"/>
    <w:qFormat/>
    <w:rPr>
      <w:kern w:val="2"/>
      <w:sz w:val="21"/>
      <w:szCs w:val="24"/>
    </w:rPr>
  </w:style>
  <w:style w:type="character" w:customStyle="1" w:styleId="20">
    <w:name w:val="标题 2 字符"/>
    <w:basedOn w:val="a0"/>
    <w:link w:val="2"/>
    <w:qFormat/>
    <w:rPr>
      <w:kern w:val="2"/>
      <w:sz w:val="21"/>
      <w:szCs w:val="24"/>
    </w:rPr>
  </w:style>
  <w:style w:type="character" w:customStyle="1" w:styleId="70">
    <w:name w:val="标题 7 字符"/>
    <w:basedOn w:val="a0"/>
    <w:link w:val="7"/>
    <w:qFormat/>
    <w:rPr>
      <w:rFonts w:ascii="仿宋_GB2312" w:eastAsia="仿宋_GB2312" w:hAnsi="宋体" w:cs="仿宋_GB2312" w:hint="eastAsia"/>
      <w:sz w:val="32"/>
      <w:szCs w:val="32"/>
    </w:rPr>
  </w:style>
  <w:style w:type="character" w:customStyle="1" w:styleId="a8">
    <w:name w:val="普通(网站) 字符"/>
    <w:basedOn w:val="a0"/>
    <w:link w:val="a7"/>
    <w:qFormat/>
    <w:rPr>
      <w:rFonts w:ascii="宋体" w:eastAsia="宋体" w:hAnsi="宋体" w:cs="宋体" w:hint="eastAsia"/>
      <w:sz w:val="24"/>
      <w:szCs w:val="24"/>
    </w:rPr>
  </w:style>
  <w:style w:type="character" w:customStyle="1" w:styleId="a9">
    <w:name w:val="列表段落 字符"/>
    <w:basedOn w:val="a0"/>
    <w:qFormat/>
    <w:rPr>
      <w:rFonts w:ascii="Calibri" w:hAnsi="Calibri" w:cs="Calibri" w:hint="default"/>
      <w:kern w:val="2"/>
      <w:sz w:val="21"/>
      <w:szCs w:val="22"/>
    </w:rPr>
  </w:style>
  <w:style w:type="paragraph" w:customStyle="1" w:styleId="21">
    <w:name w:val="列出段落2"/>
    <w:basedOn w:val="a"/>
    <w:qFormat/>
    <w:pPr>
      <w:ind w:firstLineChars="200" w:firstLine="420"/>
    </w:pPr>
    <w:rPr>
      <w:rFonts w:ascii="Times New Roman" w:eastAsia="宋体" w:hAnsi="Times New Roman" w:cs="Times New Roman"/>
    </w:rPr>
  </w:style>
  <w:style w:type="character" w:customStyle="1" w:styleId="a6">
    <w:name w:val="纯文本 字符"/>
    <w:basedOn w:val="a0"/>
    <w:link w:val="a5"/>
    <w:rPr>
      <w:rFonts w:ascii="Calibri" w:eastAsia="宋体" w:hAnsi="Courier New" w:cs="Courier New" w:hint="default"/>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dc:creator>
  <cp:lastModifiedBy>Z Dale</cp:lastModifiedBy>
  <cp:revision>2</cp:revision>
  <dcterms:created xsi:type="dcterms:W3CDTF">2024-01-22T08:40:00Z</dcterms:created>
  <dcterms:modified xsi:type="dcterms:W3CDTF">2024-01-25T07:36:00Z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11E138A4BFB445949777688A024427D3</vt:lpwstr>
  </property>
</Properties>
</file>